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Dear Diary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have finally finished the Hajj today. I feel closer to Allah than I have ever felt in my life. It was such a spiritually enlightening journey.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First I travelled to Mecca and then began to wash myself and prepare for the ritual. I then put on an Ihram. The ihram is a white tunic that we wear and symbolises that we are equal in Allah’s eyes which I think is a really nice idea. Lastly I said a prayer to focus my heart and mind on the Hajj.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Later I went to the Ka’ba. It was such a magnificent building and I am so happy that the Prophet Muhammad restored it so we can now use it to worship Allah. It is believed that the Prophet Abraham and his son Ishmael built it over 4000 years ago. I walked around the Ka’ba seven times which was tiring and drank from the Zamzam nearby.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Then I began to walk between to hills Safa and Marwa in a long wide corridor. To think that Hagar and Ishmael once had to run around the desert and in this area to find water in the desert is sad but luckily Ismael found water. We remember their search when we walk between these two hills.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walked to the plain of Arafat next. I spent the whole day peacefully listening to sermons and praying to God to forgive my sins. I feel like Allah has forgiven some of my sins. I am also extremely honoured to be in the place the Prophet Muhammad has his last sermon.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Later I went to Mina where I threw stones at the Pillars. Like Abraham I rejected evil and will follow Allah. Last of all at the festival we sacrificed a lamb. I went back to the Ka’ba again where I walked around the cube shaped temple again.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It was such a good journey I hope I will get to go again.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